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b w:val="0"/>
          <w:bCs w:val="0"/>
          <w:color w:val="333333"/>
          <w:sz w:val="72"/>
          <w:szCs w:val="72"/>
        </w:rPr>
      </w:pPr>
      <w:r>
        <w:rPr>
          <w:rFonts w:hint="eastAsia" w:ascii="方正小标宋简体" w:hAnsi="方正小标宋简体" w:eastAsia="方正小标宋简体" w:cs="方正小标宋简体"/>
          <w:b w:val="0"/>
          <w:bCs w:val="0"/>
          <w:color w:val="333333"/>
          <w:kern w:val="0"/>
          <w:sz w:val="72"/>
          <w:szCs w:val="72"/>
          <w:shd w:val="clear" w:color="auto" w:fill="FFFFFF"/>
          <w:lang w:bidi="ar"/>
        </w:rPr>
        <w:t>广元市统计局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72"/>
          <w:szCs w:val="72"/>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72"/>
          <w:szCs w:val="72"/>
          <w:highlight w:val="none"/>
          <w:shd w:val="clear" w:color="auto" w:fill="FFFFFF"/>
          <w:lang w:val="en-US" w:eastAsia="zh-CN" w:bidi="ar"/>
          <w14:textFill>
            <w14:solidFill>
              <w14:schemeClr w14:val="tx1"/>
            </w14:solidFill>
          </w14:textFill>
        </w:rPr>
        <w:t>2024年部门预算编制说明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广元市统计局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2024年２月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sectPr>
          <w:pgSz w:w="11906" w:h="16838"/>
          <w:pgMar w:top="2098" w:right="1474" w:bottom="1984" w:left="1587" w:header="720" w:footer="1389"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目  　　录</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一、基本职能及主要工作..............................(1 )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（一）单位职能简介..................................(1 )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（二）单位2024年重点工作...........................(2)</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二、部门预算单位构成................................(4)</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三、收支预算情况说明................................(4)</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（一）收入预算情况..................................(4 )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（二）支出预算情况..................................(4)</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四、财政拨款收支预算情况说明........................(5)</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五、一般公共预算当年拨款情况说明....................(5)</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（一）一般公共预算当年拨款规模变化情况..............(5 )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（二）一般公共预算当年拨款结构情况..................(5 )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（三）一般公共预算当年拨款具体使用情况..............(6)</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六、一般公共预算基本支出情况说明....................(7)</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七、“三公”经费财政拨款预算安排情况说明............(7 )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八、政府性基金预算支出情况说明......................(8)</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九、国有资本经营预算支出情况说明....................(8)</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十、其他重要事项的情况说明........................ (9)</w:t>
      </w: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caps w:val="0"/>
          <w:color w:val="000000" w:themeColor="text1"/>
          <w:spacing w:val="0"/>
          <w:sz w:val="32"/>
          <w:szCs w:val="32"/>
          <w:highlight w:val="none"/>
          <w14:textFill>
            <w14:solidFill>
              <w14:schemeClr w14:val="tx1"/>
            </w14:solidFill>
          </w14:textFill>
        </w:rPr>
      </w:pPr>
      <w:r>
        <w:rPr>
          <w:rFonts w:hint="eastAsia" w:ascii="楷体" w:hAnsi="楷体" w:eastAsia="楷体" w:cs="楷体"/>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十一、名词解释.................................... (9)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leftChars="0" w:right="0" w:firstLine="251" w:firstLineChars="78"/>
        <w:jc w:val="both"/>
        <w:textAlignment w:val="auto"/>
        <w:rPr>
          <w:rFonts w:hint="eastAsia" w:ascii="楷体" w:hAnsi="楷体" w:eastAsia="楷体" w:cs="楷体"/>
          <w:b/>
          <w:i w:val="0"/>
          <w:caps w:val="0"/>
          <w:color w:val="000000" w:themeColor="text1"/>
          <w:spacing w:val="0"/>
          <w:sz w:val="32"/>
          <w:szCs w:val="32"/>
          <w:highlight w:val="none"/>
          <w:shd w:val="clear" w:color="auto" w:fill="FFFFFF"/>
          <w:lang w:val="en-US" w:eastAsia="zh-CN"/>
          <w14:textFill>
            <w14:solidFill>
              <w14:schemeClr w14:val="tx1"/>
            </w14:solidFill>
          </w14:textFill>
        </w:rPr>
        <w:sectPr>
          <w:footerReference r:id="rId3" w:type="default"/>
          <w:pgSz w:w="11906" w:h="16838"/>
          <w:pgMar w:top="2098" w:right="1474" w:bottom="1984" w:left="1587" w:header="720" w:footer="1389" w:gutter="0"/>
          <w:pgNumType w:fmt="decimal" w:start="1"/>
          <w:cols w:space="0" w:num="1"/>
          <w:rtlGutter w:val="0"/>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leftChars="0" w:right="0" w:firstLine="219" w:firstLineChars="78"/>
        <w:jc w:val="both"/>
        <w:textAlignment w:val="auto"/>
        <w:rPr>
          <w:rFonts w:hint="eastAsia" w:ascii="黑体" w:hAnsi="黑体" w:eastAsia="黑体" w:cs="黑体"/>
          <w:sz w:val="32"/>
          <w:szCs w:val="32"/>
        </w:rPr>
      </w:pP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r>
        <w:rPr>
          <w:rFonts w:hint="eastAsia" w:ascii="黑体" w:hAnsi="黑体" w:eastAsia="黑体" w:cs="黑体"/>
          <w:sz w:val="32"/>
          <w:szCs w:val="32"/>
          <w:lang w:val="en-US" w:eastAsia="zh-CN"/>
        </w:rPr>
        <w:t>一、基本职能及主要工作</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color w:val="333333"/>
          <w:kern w:val="0"/>
          <w:sz w:val="32"/>
          <w:szCs w:val="32"/>
          <w:shd w:val="clear" w:color="auto" w:fill="FFFFFF"/>
          <w:lang w:bidi="ar"/>
        </w:rPr>
      </w:pPr>
      <w:r>
        <w:rPr>
          <w:rFonts w:hint="eastAsia" w:ascii="楷体" w:hAnsi="楷体" w:eastAsia="楷体" w:cs="楷体"/>
          <w:b w:val="0"/>
          <w:bCs/>
          <w:color w:val="333333"/>
          <w:kern w:val="0"/>
          <w:sz w:val="32"/>
          <w:szCs w:val="32"/>
          <w:shd w:val="clear" w:color="auto" w:fill="FFFFFF"/>
          <w:lang w:bidi="ar"/>
        </w:rPr>
        <w:t>（一）广元市统计局职能简介</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 xml:space="preserve">贯彻执行国家、省统计工作的方针、政策和法律、法规以及统计制度、统计标准，起草统计政策规定，制订全市统计规划以及地方统计制度、统计标准，审批县区、市级部门的地方统计调查项目以及涉外统计调查机构和项目，组织领导和协调全市统计工作，确保统计数据真实、准确、及时。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 xml:space="preserve">建立健全全市国民经济核算体系，组织实施全市国民经济核算制度，核算全市地区生产总值，整理提供国民经济核算资料，开展分析研究，指导、监督县区国民经济核算工作。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3</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 xml:space="preserve">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4</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 xml:space="preserve">组织实施人口、经济、农业等普查和重大国情国力专项调查，组织实施全市投入产出调查。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5</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建立健全全市统计数据质量审核、监控和评估制度，依法对县区、市级部门重要统计数据进行审核、监控和评估，组织指</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xml:space="preserve">导统计基层基础建设。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6</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 xml:space="preserve">对国民经济、社会发展、科技进步和资源环境等情况进行统计分析和预测，定期发布全市经济社会发展情况的统计信息，向市委、市政府及有关部门提供统计咨询建议，向社会公众提供统计信息服务。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7</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 xml:space="preserve">协助管理县区统计局正副局长，会同有关部门组织管理全市统计专业资格考试、职务评聘和从业资格认定工作，指导全市统计专业人才队伍建设，开展统计交流与合作，监督管理县区政府统计部门由中央财政和省、市级财政提供的统计经费。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8</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组织制订县区、市级部门统计数据库和网络的基本标准和</w:t>
      </w:r>
      <w:r>
        <w:rPr>
          <w:rFonts w:hint="eastAsia" w:ascii="仿宋" w:hAnsi="仿宋" w:eastAsia="仿宋" w:cs="仿宋"/>
          <w:color w:val="333333"/>
          <w:spacing w:val="-6"/>
          <w:kern w:val="0"/>
          <w:sz w:val="32"/>
          <w:szCs w:val="32"/>
          <w:shd w:val="clear" w:color="auto" w:fill="FFFFFF"/>
          <w:lang w:bidi="ar"/>
        </w:rPr>
        <w:t>运行规则，建立健全全市统计数据库系统和统计信息自动化系统，建立健全市级部门统计信息共享制度，指导地方统计信息化建设</w:t>
      </w:r>
      <w:r>
        <w:rPr>
          <w:rFonts w:hint="eastAsia" w:ascii="仿宋" w:hAnsi="仿宋" w:eastAsia="仿宋" w:cs="仿宋"/>
          <w:color w:val="333333"/>
          <w:kern w:val="0"/>
          <w:sz w:val="32"/>
          <w:szCs w:val="32"/>
          <w:shd w:val="clear" w:color="auto" w:fill="FFFFFF"/>
          <w:lang w:bidi="ar"/>
        </w:rPr>
        <w:t xml:space="preserve">。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9</w:t>
      </w:r>
      <w:r>
        <w:rPr>
          <w:rFonts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bidi="ar"/>
        </w:rPr>
        <w:t>承担市政府公布的有关审批事项。</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广元市统计局</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我们将坚持以习近平新时代中国特色社会主义思想为指导，深入贯彻落实国家、省统计局和市委市政府工作要求，凝心聚力、奋勇争先，为广元加快建设川陕甘结合部现代化中心城市作出更大统计贡献。</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1.坚持全面加强党的领导</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始终牢记统计机关的政治属性，旗帜鲜明讲政治，把坚持党的全面领导贯穿统计工作全过程各方面。严格落实“第一议题”制度，深入学习贯彻习近平总书记关于统计工作重要讲话指示批示精神，坚定不移贯彻落实党中央关于惩治统计造假、弄虚作假的决策部署，充分发挥统计部门“晴雨表”“参谋部”“信息窗”作用，以实际行动践行“两个维护”、捍卫“两个确立”。</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2.全力抓好正式普查登记</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切实增强做好正式登记工作的紧迫感和责任感，在前期强大宣传声势基础上，再添一把火、再鼓一把劲、再加一把力，努力提高普查对象配合度，营造良好普查氛围。进一步把好时间节点、突出工作重点，明确工作职责、加强部门协作，积极发挥各成员单位职能，严格落实人财物保障，有序推进现场登记、数据审核验收、数据质量抽查等各项工作</w:t>
      </w:r>
      <w:r>
        <w:rPr>
          <w:rFonts w:hint="eastAsia" w:ascii="仿宋" w:hAnsi="仿宋" w:eastAsia="仿宋" w:cs="仿宋"/>
          <w:b w:val="0"/>
          <w:bCs w:val="0"/>
          <w:i w:val="0"/>
          <w:caps w:val="0"/>
          <w:smallCaps w:val="0"/>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坚持以质量为中心严把数据关，强化数据质量管控措施，确保普查数据真实、可靠。</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3.持续优化统计服务水平</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紧紧围绕市委、市政府中心工作，认真履行统计职能职责,紧盯全市经济形势，加强对重点领域、重点行业、重点企业的动态监测和预警预判，及时发现苗头性、趋势性问题和制约因素，精准研判和分析问题，以打造精品统计产品为抓手，在统计分析深度、广度、精度上下功夫,切实提高统计分析水平,实现统计从“数库”到“智库”的全面转变。</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4.有效发挥统计监督职能</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持续学习贯彻《监督意见》及全市《关于更加有效发挥统计监督职能作用责任分工方案》的文件精神及工作要求，</w:t>
      </w:r>
      <w:r>
        <w:rPr>
          <w:rFonts w:hint="eastAsia" w:ascii="仿宋" w:hAnsi="仿宋" w:eastAsia="仿宋" w:cs="仿宋"/>
          <w:b w:val="0"/>
          <w:bCs w:val="0"/>
          <w:caps w:val="0"/>
          <w:smallCaps w:val="0"/>
          <w:vanish w:val="0"/>
          <w:color w:val="000000" w:themeColor="text1"/>
          <w:kern w:val="2"/>
          <w:sz w:val="32"/>
          <w:szCs w:val="32"/>
          <w:vertAlign w:val="baseline"/>
          <w:lang w:val="en-US" w:eastAsia="zh-CN" w:bidi="ar-SA"/>
          <w14:textFill>
            <w14:solidFill>
              <w14:schemeClr w14:val="tx1"/>
            </w14:solidFill>
          </w14:textFill>
        </w:rPr>
        <w:t>常态化开展统计法治宣传，</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聚焦统计督</w:t>
      </w:r>
      <w:r>
        <w:rPr>
          <w:rFonts w:hint="eastAsia" w:ascii="仿宋" w:hAnsi="仿宋" w:eastAsia="仿宋" w:cs="仿宋"/>
          <w:b w:val="0"/>
          <w:bCs w:val="0"/>
          <w:i w:val="0"/>
          <w:caps w:val="0"/>
          <w:smallCaps w:val="0"/>
          <w:color w:val="000000" w:themeColor="text1"/>
          <w:spacing w:val="0"/>
          <w:kern w:val="0"/>
          <w:sz w:val="32"/>
          <w:szCs w:val="32"/>
          <w:lang w:val="en-US" w:eastAsia="zh-CN" w:bidi="ar-SA"/>
          <w14:textFill>
            <w14:solidFill>
              <w14:schemeClr w14:val="tx1"/>
            </w14:solidFill>
          </w14:textFill>
        </w:rPr>
        <w:t>察</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反馈意见和整改方案任务抓好贯彻落实，坚持把专项治理行动作为全市统计工作重要政治任务,切实履行防范和惩治统计造假主体责</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任,用好数据质量核查、执法检查等方式，锚定有效遏制统计造</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假问题，有力提升统计数据质量。</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5.不断夯实统计基层基础</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i w:val="0"/>
          <w:caps w:val="0"/>
          <w:smallCaps w:val="0"/>
          <w:color w:val="000000" w:themeColor="text1"/>
          <w:spacing w:val="0"/>
          <w:kern w:val="0"/>
          <w:sz w:val="32"/>
          <w:szCs w:val="32"/>
          <w:shd w:val="clear" w:color="auto" w:fill="FFFFFF"/>
          <w:lang w:val="en-US" w:eastAsia="zh-CN" w:bidi="ar-SA"/>
          <w14:textFill>
            <w14:solidFill>
              <w14:schemeClr w14:val="tx1"/>
            </w14:solidFill>
          </w14:textFill>
        </w:rPr>
        <w:t>全力推动统计改革向纵深发展，积极探索反映文化繁荣、社会进步、民生改善、高质量发展等方面的统计指标。扎实开展“统计基层基础规范化建设”三年攻坚行动，配齐配强基层统计力量，强化基层教育培训和工作保障。进一步加强统计数据质量管控，加大工作督促检查力度。切实加强对部门统计工作指导，深入开展基层基础建设等部门考核，不断提高部门统计能力、数据质量和服务水平。</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eastAsia="zh-CN" w:bidi="ar"/>
        </w:rPr>
      </w:pPr>
      <w:r>
        <w:rPr>
          <w:rFonts w:hint="eastAsia" w:ascii="仿宋" w:hAnsi="仿宋" w:eastAsia="仿宋" w:cs="仿宋"/>
          <w:color w:val="333333"/>
          <w:kern w:val="0"/>
          <w:sz w:val="32"/>
          <w:szCs w:val="32"/>
          <w:shd w:val="clear" w:color="auto" w:fill="FFFFFF"/>
          <w:lang w:bidi="ar"/>
        </w:rPr>
        <w:t>本单位为一个行政单位，包括下属一个参公单位、一个事业单位。主要包括：广元市普查中心、广元市统计大数据管理与社情民意调查中心</w:t>
      </w:r>
      <w:r>
        <w:rPr>
          <w:rFonts w:hint="eastAsia" w:ascii="仿宋" w:hAnsi="仿宋" w:eastAsia="仿宋" w:cs="仿宋"/>
          <w:color w:val="333333"/>
          <w:kern w:val="0"/>
          <w:sz w:val="32"/>
          <w:szCs w:val="32"/>
          <w:shd w:val="clear" w:color="auto" w:fill="FFFFFF"/>
          <w:lang w:eastAsia="zh-CN" w:bidi="ar"/>
        </w:rPr>
        <w:t>，未单独编报预算。</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三、收支预算情况说明</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我单位所有收入和支出均纳入部门预算管理。收入包括：一般公共预算拨款收入；支出包括：一般公共服务支出、社会保障和就业支出、卫生健康支出、住房保障支出。广元市统计局2024年收支预算总数883.25万元,比2023年收支预算总数减少17.4万元，主要原因是调出一人、退休一人故人员经费减少，专项经费压减。</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（一）收入预算情况</w:t>
      </w:r>
      <w:r>
        <w:rPr>
          <w:rFonts w:hint="eastAsia" w:ascii="仿宋" w:hAnsi="仿宋" w:eastAsia="仿宋" w:cs="仿宋"/>
          <w:sz w:val="32"/>
          <w:szCs w:val="32"/>
          <w:lang w:val="en-US" w:eastAsia="zh-CN"/>
        </w:rPr>
        <w:t>广元市统计局2024年收入预算883.25万元，其中：一般公共预算拨款收入883.25万元，占100%。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广元市统计局2024年支出预算883.25万元，其中：基本支出827.67万元，占93.71%；项目支出55.58万元，占6.29%</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广元市统计局2024年财政拨款收支预算总数883.25万元,比2023年财政拨款收支预算总数下降7.4万元，主要原因是调出一人、退休一人故人员经费减少，专项经费压减。</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收入包括：本年一般公共预算拨款收入883.25万元；支出包括：一般公共服务支出718.96万元、社会保障和就业支出76.47万元、卫生健康支出24.05万元、住房保障支出63.78万元。</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（一）一般公共预算当年拨款规模变化情况</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广元市统计局2024年一般公共预算当年拨款883.25万元，比2023年预算数减少7.4万元，主要原因是调出一人、退休一人故人员经费减少，专项经费压减。</w:t>
      </w:r>
    </w:p>
    <w:p>
      <w:pPr>
        <w:keepNext w:val="0"/>
        <w:keepLines w:val="0"/>
        <w:pageBreakBefore w:val="0"/>
        <w:widowControl/>
        <w:numPr>
          <w:ilvl w:val="0"/>
          <w:numId w:val="1"/>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一般公共预算当年拨款结构情况</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一般公共服务支出718.96万元，占81.40%；社会保障和就业支出76.47万元，占8.66%；卫生健康支出24.05万元，占2.72%；住房保障支出63.78万元，占7.22%。</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（三）一般公共预算当年拨款具体使用情况</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sz w:val="32"/>
          <w:szCs w:val="32"/>
          <w:lang w:val="en-US" w:eastAsia="zh-CN"/>
        </w:rPr>
        <w:t>1.一般公共服务（类）</w:t>
      </w:r>
      <w:r>
        <w:rPr>
          <w:rFonts w:hint="eastAsia" w:ascii="仿宋" w:hAnsi="仿宋" w:eastAsia="仿宋" w:cs="仿宋"/>
          <w:color w:val="333333"/>
          <w:kern w:val="0"/>
          <w:sz w:val="32"/>
          <w:szCs w:val="32"/>
          <w:shd w:val="clear" w:color="auto" w:fill="FFFFFF"/>
          <w:lang w:bidi="ar"/>
        </w:rPr>
        <w:t>统计信息事务（款）行政运行（项）</w:t>
      </w:r>
      <w:r>
        <w:rPr>
          <w:rFonts w:hint="eastAsia" w:ascii="仿宋" w:hAnsi="仿宋" w:eastAsia="仿宋" w:cs="仿宋"/>
          <w:sz w:val="32"/>
          <w:szCs w:val="32"/>
          <w:lang w:val="en-US" w:eastAsia="zh-CN"/>
        </w:rPr>
        <w:t>2024年预算数为496.81万元，主要用于：</w:t>
      </w:r>
      <w:r>
        <w:rPr>
          <w:rFonts w:hint="eastAsia" w:ascii="仿宋" w:hAnsi="仿宋" w:eastAsia="仿宋" w:cs="仿宋"/>
          <w:color w:val="333333"/>
          <w:kern w:val="0"/>
          <w:sz w:val="32"/>
          <w:szCs w:val="32"/>
          <w:shd w:val="clear" w:color="auto" w:fill="FFFFFF"/>
          <w:lang w:bidi="ar"/>
        </w:rPr>
        <w:t xml:space="preserve">行政单位工资奖金津补贴、其他工资福利支出、办公经费、会议费、培训费、委托业务费、公务接待费、公务用车运行维护费、维修（护）费、其他商品和服务支出、设备购置、社会福利和救助、其他对个人和家庭补助。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eastAsia="zh-CN" w:bidi="ar"/>
        </w:rPr>
      </w:pPr>
      <w:r>
        <w:rPr>
          <w:rFonts w:hint="eastAsia" w:ascii="仿宋" w:hAnsi="仿宋" w:eastAsia="仿宋" w:cs="仿宋"/>
          <w:sz w:val="32"/>
          <w:szCs w:val="32"/>
          <w:lang w:val="en-US" w:eastAsia="zh-CN"/>
        </w:rPr>
        <w:t>2.一般公共服务</w:t>
      </w:r>
      <w:r>
        <w:rPr>
          <w:rFonts w:hint="eastAsia" w:ascii="仿宋" w:hAnsi="仿宋" w:eastAsia="仿宋" w:cs="仿宋"/>
          <w:color w:val="333333"/>
          <w:kern w:val="0"/>
          <w:sz w:val="32"/>
          <w:szCs w:val="32"/>
          <w:shd w:val="clear" w:color="auto" w:fill="FFFFFF"/>
          <w:lang w:bidi="ar"/>
        </w:rPr>
        <w:t>（类）统计信息事务（款）专项统计业务（项）</w:t>
      </w:r>
      <w:r>
        <w:rPr>
          <w:rFonts w:hint="eastAsia" w:ascii="仿宋" w:hAnsi="仿宋" w:eastAsia="仿宋" w:cs="仿宋"/>
          <w:sz w:val="32"/>
          <w:szCs w:val="32"/>
          <w:lang w:val="en-US" w:eastAsia="zh-CN"/>
        </w:rPr>
        <w:t>2024年预算数为55.58万元，主要用于：机关日常业务之外开展专项统计工作的支出，</w:t>
      </w:r>
      <w:r>
        <w:rPr>
          <w:rFonts w:hint="eastAsia" w:ascii="仿宋" w:hAnsi="仿宋" w:eastAsia="仿宋" w:cs="仿宋"/>
          <w:color w:val="333333"/>
          <w:kern w:val="0"/>
          <w:sz w:val="32"/>
          <w:szCs w:val="32"/>
          <w:shd w:val="clear" w:color="auto" w:fill="FFFFFF"/>
          <w:lang w:val="en-US" w:eastAsia="zh-CN" w:bidi="ar"/>
        </w:rPr>
        <w:t>主要用于统计专项业务调查、培训和统计产品资料印制等相关经费，</w:t>
      </w:r>
      <w:r>
        <w:rPr>
          <w:rFonts w:hint="eastAsia" w:ascii="仿宋" w:hAnsi="仿宋" w:eastAsia="仿宋" w:cs="仿宋"/>
          <w:color w:val="333333"/>
          <w:kern w:val="0"/>
          <w:sz w:val="32"/>
          <w:szCs w:val="32"/>
          <w:shd w:val="clear" w:color="auto" w:fill="FFFFFF"/>
          <w:lang w:bidi="ar"/>
        </w:rPr>
        <w:t>其中</w:t>
      </w:r>
      <w:r>
        <w:rPr>
          <w:rFonts w:hint="eastAsia" w:ascii="仿宋" w:hAnsi="仿宋" w:eastAsia="仿宋" w:cs="仿宋"/>
          <w:color w:val="333333"/>
          <w:kern w:val="0"/>
          <w:sz w:val="32"/>
          <w:szCs w:val="32"/>
          <w:shd w:val="clear" w:color="auto" w:fill="FFFFFF"/>
          <w:lang w:eastAsia="zh-CN" w:bidi="ar"/>
        </w:rPr>
        <w:t>包括</w:t>
      </w:r>
      <w:r>
        <w:rPr>
          <w:rFonts w:hint="eastAsia" w:ascii="仿宋" w:hAnsi="仿宋" w:eastAsia="仿宋" w:cs="仿宋"/>
          <w:color w:val="333333"/>
          <w:kern w:val="0"/>
          <w:sz w:val="32"/>
          <w:szCs w:val="32"/>
          <w:shd w:val="clear" w:color="auto" w:fill="FFFFFF"/>
          <w:lang w:bidi="ar"/>
        </w:rPr>
        <w:t>乡村振兴工作经费及驻村第一书记生活补助</w:t>
      </w:r>
      <w:r>
        <w:rPr>
          <w:rFonts w:hint="eastAsia" w:ascii="仿宋" w:hAnsi="仿宋" w:eastAsia="仿宋" w:cs="仿宋"/>
          <w:color w:val="333333"/>
          <w:kern w:val="0"/>
          <w:sz w:val="32"/>
          <w:szCs w:val="32"/>
          <w:shd w:val="clear" w:color="auto" w:fill="FFFFFF"/>
          <w:lang w:val="en-US" w:eastAsia="zh-CN" w:bidi="ar"/>
        </w:rPr>
        <w:t>3.64</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sz w:val="32"/>
          <w:szCs w:val="32"/>
          <w:lang w:val="en-US" w:eastAsia="zh-CN"/>
        </w:rPr>
        <w:t>3.一般公共服务（类）</w:t>
      </w:r>
      <w:r>
        <w:rPr>
          <w:rFonts w:hint="eastAsia" w:ascii="仿宋" w:hAnsi="仿宋" w:eastAsia="仿宋" w:cs="仿宋"/>
          <w:color w:val="333333"/>
          <w:kern w:val="0"/>
          <w:sz w:val="32"/>
          <w:szCs w:val="32"/>
          <w:shd w:val="clear" w:color="auto" w:fill="FFFFFF"/>
          <w:lang w:bidi="ar"/>
        </w:rPr>
        <w:t>统计信息事务（款）</w:t>
      </w:r>
      <w:r>
        <w:rPr>
          <w:rFonts w:hint="eastAsia" w:ascii="仿宋" w:hAnsi="仿宋" w:eastAsia="仿宋" w:cs="仿宋"/>
          <w:sz w:val="32"/>
          <w:szCs w:val="32"/>
          <w:lang w:val="en-US" w:eastAsia="zh-CN"/>
        </w:rPr>
        <w:t>事业运行（项）2024年预算数为166.57万元，主要用于：</w:t>
      </w:r>
      <w:r>
        <w:rPr>
          <w:rFonts w:hint="eastAsia" w:ascii="仿宋" w:hAnsi="仿宋" w:eastAsia="仿宋" w:cs="仿宋"/>
          <w:color w:val="333333"/>
          <w:kern w:val="0"/>
          <w:sz w:val="32"/>
          <w:szCs w:val="32"/>
          <w:shd w:val="clear" w:color="auto" w:fill="FFFFFF"/>
          <w:lang w:eastAsia="zh-CN" w:bidi="ar"/>
        </w:rPr>
        <w:t>事业</w:t>
      </w:r>
      <w:r>
        <w:rPr>
          <w:rFonts w:hint="eastAsia" w:ascii="仿宋" w:hAnsi="仿宋" w:eastAsia="仿宋" w:cs="仿宋"/>
          <w:color w:val="333333"/>
          <w:kern w:val="0"/>
          <w:sz w:val="32"/>
          <w:szCs w:val="32"/>
          <w:shd w:val="clear" w:color="auto" w:fill="FFFFFF"/>
          <w:lang w:bidi="ar"/>
        </w:rPr>
        <w:t xml:space="preserve">单位工资奖金津补贴、其他工资福利支出、办公经费、会议费、培训费、委托业务费、公务接待费、公务用车运行维护费、维修（护）费、其他商品和服务支出、设备购置、其他对个人和家庭补助。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4.社会保障和就业（类）行政事业单位养老支出（款）机关事业单位基本养老保险缴费支出（项）2024年预算数为75.38万元，主要用于：实施养老保险制度由单位缴纳的基本养老保险支出。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5.社会保障和就业（类）行政事业单位养老支出（款） 其</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他社会保障和就业支出（项）2024年预算数为1.09万元，主要用于其他社会保障和就业方面的支出。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6.卫生健康（类）行政事业单位医疗（款）行政单位医疗（项）2024年预算数为24.05万元，主要用于：机关及参公管理事业单位按规定由单位缴纳的基本医疗保险支出。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7.住房保障（类）住房改革支出（款）住房公积金（项）2024年预算数为63.78万元，主要用于：部门按规定为职工缴纳的住房公积金支出。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六、一般公共预算基本支出情况说明</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广元市统计局2024年一般公共预算基本支出827.67万元，其中：人员经费718.8万元，主要包括：基本工资、津贴补贴、奖金、社会保险缴费、住房公积金等支出。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用经费108.87万元，主要包括：办公费、印刷费、手续费、水费、电费、邮电费、差旅费、维修（护）费、会议费、培训费、公务接待费、劳务费、工会经费、福利费、公务用车运行维护费、其他交通费用、其他商品服务支出等支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七、“三公”经费财政拨款预算安排情况说明</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sz w:val="32"/>
          <w:szCs w:val="32"/>
          <w:lang w:val="en-US" w:eastAsia="zh-CN"/>
        </w:rPr>
        <w:t>广元市统计局2024年“三公”经费财政拨款预算数5.6万元，其中：公务接待费1.7万元，公务用车购置及运行维护费3.9万元，</w:t>
      </w:r>
      <w:r>
        <w:rPr>
          <w:rFonts w:hint="eastAsia" w:ascii="仿宋" w:hAnsi="仿宋" w:eastAsia="仿宋" w:cs="仿宋"/>
          <w:color w:val="333333"/>
          <w:kern w:val="0"/>
          <w:sz w:val="32"/>
          <w:szCs w:val="32"/>
          <w:shd w:val="clear" w:color="auto" w:fill="FFFFFF"/>
          <w:lang w:bidi="ar"/>
        </w:rPr>
        <w:t>因公出国（境）经费</w:t>
      </w:r>
      <w:r>
        <w:rPr>
          <w:rFonts w:hint="eastAsia" w:ascii="仿宋" w:hAnsi="仿宋" w:eastAsia="仿宋" w:cs="仿宋"/>
          <w:color w:val="333333"/>
          <w:kern w:val="0"/>
          <w:sz w:val="32"/>
          <w:szCs w:val="32"/>
          <w:shd w:val="clear" w:color="auto" w:fill="FFFFFF"/>
          <w:lang w:val="en-US" w:eastAsia="zh-CN" w:bidi="ar"/>
        </w:rPr>
        <w:t>0万元</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公务接待费与2023年预算相比减少0.06万元，主要原因是逐年压减。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2024年公务接待费计划用于执行接待考察调研、检查指导、数据会审等公务活动开支的交通费、住宿费、用餐费等。</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公务用车购置及运行维护费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用车购置及运行维护费与2023年预算相比下降2.5万元，主要原因是2024年为经普年份，公务用车相关运行维护费在开展普查相关工作中列支，精准编制预算经济分类科目。广元市统计局现有公务用车1辆，其中：越野车1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2024年安排公务用车购置费0万元，2024年未安排公务用车购置费。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2024年安排公务用车运行维护费3.9万元，用于1辆公务用车燃油、过路（桥）、维修、保险等方面支出，主要保障</w:t>
      </w:r>
      <w:r>
        <w:rPr>
          <w:rFonts w:hint="eastAsia" w:ascii="仿宋" w:hAnsi="仿宋" w:eastAsia="仿宋" w:cs="仿宋"/>
          <w:color w:val="333333"/>
          <w:kern w:val="0"/>
          <w:sz w:val="32"/>
          <w:szCs w:val="32"/>
          <w:shd w:val="clear" w:color="auto" w:fill="FFFFFF"/>
          <w:lang w:bidi="ar"/>
        </w:rPr>
        <w:t>统计专项督查、乡村振兴等各类专项业务工作开展</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（三）因公出国（境）经费</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bidi="ar"/>
        </w:rPr>
        <w:t>年部门预算未编列因公出国（境）经费，未安排出国（境）任务和计划</w:t>
      </w:r>
      <w:r>
        <w:rPr>
          <w:rFonts w:hint="eastAsia" w:ascii="仿宋" w:hAnsi="仿宋" w:eastAsia="仿宋" w:cs="仿宋"/>
          <w:color w:val="333333"/>
          <w:kern w:val="0"/>
          <w:sz w:val="32"/>
          <w:szCs w:val="32"/>
          <w:shd w:val="clear" w:color="auto" w:fill="FFFFFF"/>
          <w:lang w:eastAsia="zh-CN" w:bidi="ar"/>
        </w:rPr>
        <w:t>，与</w:t>
      </w:r>
      <w:r>
        <w:rPr>
          <w:rFonts w:hint="eastAsia" w:ascii="仿宋" w:hAnsi="仿宋" w:eastAsia="仿宋" w:cs="仿宋"/>
          <w:color w:val="333333"/>
          <w:kern w:val="0"/>
          <w:sz w:val="32"/>
          <w:szCs w:val="32"/>
          <w:shd w:val="clear" w:color="auto" w:fill="FFFFFF"/>
          <w:lang w:val="en-US" w:eastAsia="zh-CN" w:bidi="ar"/>
        </w:rPr>
        <w:t>2023年持平。</w:t>
      </w:r>
    </w:p>
    <w:p>
      <w:pPr>
        <w:keepNext w:val="0"/>
        <w:keepLines w:val="0"/>
        <w:pageBreakBefore w:val="0"/>
        <w:widowControl/>
        <w:numPr>
          <w:ilvl w:val="0"/>
          <w:numId w:val="3"/>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政府性基金预算支出情况说明</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广元市统计局2024年无政府性基金预算拨款安排的支出。</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keepNext w:val="0"/>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广元市统计局2024年无国有资本经营预算拨款安排的支出。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2024年，广元市统计局下属局机关和2家事业单位的机关运行经费财政拨款预算为108.87万元，比2023年预算减少1.6万元，下降1.45%。主要原因是人员变动。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2024年，广元市统计局安排政府采购预算0万元。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截至2023年底，广元市统计局共有车辆1辆，</w:t>
      </w:r>
      <w:r>
        <w:rPr>
          <w:rFonts w:hint="eastAsia" w:ascii="仿宋" w:hAnsi="仿宋" w:eastAsia="仿宋" w:cs="仿宋"/>
          <w:color w:val="333333"/>
          <w:kern w:val="0"/>
          <w:sz w:val="32"/>
          <w:szCs w:val="32"/>
          <w:shd w:val="clear" w:color="auto" w:fill="FFFFFF"/>
          <w:lang w:bidi="ar"/>
        </w:rPr>
        <w:t>用于开展统计执法工作用车。单位价值</w:t>
      </w:r>
      <w:r>
        <w:rPr>
          <w:rFonts w:hint="eastAsia" w:ascii="仿宋" w:hAnsi="仿宋" w:eastAsia="仿宋" w:cs="仿宋"/>
          <w:color w:val="333333"/>
          <w:kern w:val="0"/>
          <w:sz w:val="32"/>
          <w:szCs w:val="32"/>
          <w:shd w:val="clear" w:color="auto" w:fill="FFFFFF"/>
          <w:lang w:val="en-US" w:eastAsia="zh-CN" w:bidi="ar"/>
        </w:rPr>
        <w:t>200</w:t>
      </w:r>
      <w:r>
        <w:rPr>
          <w:rFonts w:hint="eastAsia" w:ascii="仿宋" w:hAnsi="仿宋" w:eastAsia="仿宋" w:cs="仿宋"/>
          <w:color w:val="333333"/>
          <w:kern w:val="0"/>
          <w:sz w:val="32"/>
          <w:szCs w:val="32"/>
          <w:shd w:val="clear" w:color="auto" w:fill="FFFFFF"/>
          <w:lang w:bidi="ar"/>
        </w:rPr>
        <w:t>万元以上大型设备0台（套）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2024年广元市统计局开展绩效目标管理的项目18个，涉及预算883.25万元。其中：人员类项目8个，涉及预算718.79 万元；运转类项目4个，涉及预算108.87万元；特定目标类项目6个，涉及预算55.58万元。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（一）财政拨款收入:</w:t>
      </w:r>
      <w:r>
        <w:rPr>
          <w:rFonts w:hint="eastAsia" w:ascii="仿宋" w:hAnsi="仿宋" w:eastAsia="仿宋" w:cs="仿宋"/>
          <w:sz w:val="32"/>
          <w:szCs w:val="32"/>
          <w:lang w:val="en-US" w:eastAsia="zh-CN"/>
        </w:rPr>
        <w:t>指市财政当年安排的财政预算收入。按现行管理制度,部门预算中反映的财政拨款包括一般公共预算拨款和政府性基金预算拨款。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（二）其他收入：</w:t>
      </w:r>
      <w:r>
        <w:rPr>
          <w:rFonts w:hint="eastAsia" w:ascii="仿宋" w:hAnsi="仿宋" w:eastAsia="仿宋" w:cs="仿宋"/>
          <w:sz w:val="32"/>
          <w:szCs w:val="32"/>
          <w:lang w:val="en-US" w:eastAsia="zh-CN"/>
        </w:rPr>
        <w:t>指除上述“一般公共预算拨款收入” 以外的收入。如银行存款利息收入等。</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（三）上年结转：</w:t>
      </w:r>
      <w:r>
        <w:rPr>
          <w:rFonts w:hint="eastAsia" w:ascii="仿宋" w:hAnsi="仿宋" w:eastAsia="仿宋" w:cs="仿宋"/>
          <w:sz w:val="32"/>
          <w:szCs w:val="32"/>
          <w:lang w:val="en-US" w:eastAsia="zh-CN"/>
        </w:rPr>
        <w:t>指以前年度尚未完成，结转到本年仍按原规定用途继续使用的资金。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楷体" w:hAnsi="楷体" w:eastAsia="楷体" w:cs="楷体"/>
          <w:sz w:val="32"/>
          <w:szCs w:val="32"/>
          <w:lang w:val="en-US" w:eastAsia="zh-CN"/>
        </w:rPr>
        <w:t>　（四）一般公共服务（类）</w:t>
      </w:r>
      <w:r>
        <w:rPr>
          <w:rFonts w:hint="eastAsia" w:ascii="楷体" w:hAnsi="楷体" w:eastAsia="楷体" w:cs="楷体"/>
          <w:color w:val="000000"/>
          <w:sz w:val="32"/>
          <w:szCs w:val="32"/>
        </w:rPr>
        <w:t>统计信息事</w:t>
      </w:r>
      <w:r>
        <w:rPr>
          <w:rFonts w:hint="eastAsia" w:ascii="楷体" w:hAnsi="楷体" w:eastAsia="楷体" w:cs="楷体"/>
          <w:sz w:val="32"/>
          <w:szCs w:val="32"/>
        </w:rPr>
        <w:t>（款）</w:t>
      </w:r>
      <w:r>
        <w:rPr>
          <w:rFonts w:hint="eastAsia" w:ascii="楷体" w:hAnsi="楷体" w:eastAsia="楷体" w:cs="楷体"/>
          <w:color w:val="000000"/>
          <w:sz w:val="32"/>
          <w:szCs w:val="32"/>
        </w:rPr>
        <w:t>行政运行</w:t>
      </w:r>
      <w:r>
        <w:rPr>
          <w:rFonts w:hint="eastAsia" w:ascii="楷体" w:hAnsi="楷体" w:eastAsia="楷体" w:cs="楷体"/>
          <w:sz w:val="32"/>
          <w:szCs w:val="32"/>
        </w:rPr>
        <w:t>（项）：</w:t>
      </w:r>
      <w:r>
        <w:rPr>
          <w:rFonts w:hint="eastAsia" w:ascii="仿宋" w:hAnsi="仿宋" w:eastAsia="仿宋" w:cs="仿宋"/>
          <w:sz w:val="32"/>
          <w:szCs w:val="32"/>
        </w:rPr>
        <w:t>指用</w:t>
      </w:r>
      <w:r>
        <w:rPr>
          <w:rFonts w:hint="eastAsia" w:ascii="仿宋" w:hAnsi="仿宋" w:eastAsia="仿宋" w:cs="仿宋"/>
          <w:sz w:val="32"/>
          <w:szCs w:val="32"/>
          <w:lang w:val="en-US" w:eastAsia="zh-CN"/>
        </w:rPr>
        <w:t>机关单位用于保障机构正常运行、开展日常工作的基本支出。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楷体" w:hAnsi="楷体" w:eastAsia="楷体" w:cs="楷体"/>
          <w:sz w:val="32"/>
          <w:szCs w:val="32"/>
          <w:lang w:val="en-US" w:eastAsia="zh-CN"/>
        </w:rPr>
        <w:t>　（五）一般公共服务（类）</w:t>
      </w:r>
      <w:r>
        <w:rPr>
          <w:rFonts w:hint="eastAsia" w:ascii="楷体" w:hAnsi="楷体" w:eastAsia="楷体" w:cs="楷体"/>
          <w:color w:val="000000"/>
          <w:sz w:val="32"/>
          <w:szCs w:val="32"/>
        </w:rPr>
        <w:t>统计信息事</w:t>
      </w:r>
      <w:r>
        <w:rPr>
          <w:rFonts w:hint="eastAsia" w:ascii="楷体" w:hAnsi="楷体" w:eastAsia="楷体" w:cs="楷体"/>
          <w:sz w:val="32"/>
          <w:szCs w:val="32"/>
        </w:rPr>
        <w:t>（款）专项统计业务（项）：</w:t>
      </w:r>
      <w:r>
        <w:rPr>
          <w:rFonts w:hint="eastAsia" w:ascii="仿宋" w:hAnsi="仿宋" w:eastAsia="仿宋" w:cs="仿宋"/>
          <w:sz w:val="32"/>
          <w:szCs w:val="32"/>
        </w:rPr>
        <w:t>指用于统计</w:t>
      </w:r>
      <w:r>
        <w:rPr>
          <w:rFonts w:hint="eastAsia" w:ascii="仿宋" w:hAnsi="仿宋" w:eastAsia="仿宋" w:cs="仿宋"/>
          <w:sz w:val="32"/>
          <w:szCs w:val="32"/>
          <w:lang w:eastAsia="zh-CN"/>
        </w:rPr>
        <w:t>机关在日常业务之外开展</w:t>
      </w:r>
      <w:r>
        <w:rPr>
          <w:rFonts w:hint="eastAsia" w:ascii="仿宋" w:hAnsi="仿宋" w:eastAsia="仿宋" w:cs="仿宋"/>
          <w:sz w:val="32"/>
          <w:szCs w:val="32"/>
        </w:rPr>
        <w:t>专项</w:t>
      </w:r>
      <w:r>
        <w:rPr>
          <w:rFonts w:hint="eastAsia" w:ascii="仿宋" w:hAnsi="仿宋" w:eastAsia="仿宋" w:cs="仿宋"/>
          <w:sz w:val="32"/>
          <w:szCs w:val="32"/>
          <w:lang w:eastAsia="zh-CN"/>
        </w:rPr>
        <w:t>统计</w:t>
      </w:r>
      <w:r>
        <w:rPr>
          <w:rFonts w:hint="eastAsia" w:ascii="仿宋" w:hAnsi="仿宋" w:eastAsia="仿宋" w:cs="仿宋"/>
          <w:sz w:val="32"/>
          <w:szCs w:val="32"/>
        </w:rPr>
        <w:t>工作支出。</w:t>
      </w:r>
      <w:r>
        <w:rPr>
          <w:rFonts w:hint="eastAsia" w:ascii="仿宋" w:hAnsi="仿宋" w:eastAsia="仿宋" w:cs="仿宋"/>
          <w:sz w:val="32"/>
          <w:szCs w:val="32"/>
          <w:lang w:val="en-US" w:eastAsia="zh-CN"/>
        </w:rPr>
        <w:t>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（六）一般公共服务（类）</w:t>
      </w:r>
      <w:r>
        <w:rPr>
          <w:rFonts w:hint="eastAsia" w:ascii="楷体" w:hAnsi="楷体" w:eastAsia="楷体" w:cs="楷体"/>
          <w:color w:val="000000"/>
          <w:sz w:val="32"/>
          <w:szCs w:val="32"/>
        </w:rPr>
        <w:t>统计信息事</w:t>
      </w:r>
      <w:r>
        <w:rPr>
          <w:rFonts w:hint="eastAsia" w:ascii="楷体" w:hAnsi="楷体" w:eastAsia="楷体" w:cs="楷体"/>
          <w:sz w:val="32"/>
          <w:szCs w:val="32"/>
        </w:rPr>
        <w:t>（款）专项普查活动（项）：</w:t>
      </w:r>
      <w:r>
        <w:rPr>
          <w:rFonts w:hint="eastAsia" w:ascii="仿宋" w:hAnsi="仿宋" w:eastAsia="仿宋" w:cs="仿宋"/>
          <w:sz w:val="32"/>
          <w:szCs w:val="32"/>
        </w:rPr>
        <w:t>指用于统计</w:t>
      </w:r>
      <w:r>
        <w:rPr>
          <w:rFonts w:hint="eastAsia" w:ascii="仿宋" w:hAnsi="仿宋" w:eastAsia="仿宋" w:cs="仿宋"/>
          <w:sz w:val="32"/>
          <w:szCs w:val="32"/>
          <w:lang w:eastAsia="zh-CN"/>
        </w:rPr>
        <w:t>部门开展人口普查、经济普查、农业普查、投入产出调查等周期性普查工作</w:t>
      </w:r>
      <w:r>
        <w:rPr>
          <w:rFonts w:hint="eastAsia" w:ascii="仿宋" w:hAnsi="仿宋" w:eastAsia="仿宋" w:cs="仿宋"/>
          <w:sz w:val="32"/>
          <w:szCs w:val="32"/>
        </w:rPr>
        <w:t>支出。</w:t>
      </w:r>
      <w:r>
        <w:rPr>
          <w:rFonts w:hint="eastAsia" w:ascii="仿宋" w:hAnsi="仿宋" w:eastAsia="仿宋" w:cs="仿宋"/>
          <w:sz w:val="32"/>
          <w:szCs w:val="32"/>
          <w:lang w:val="en-US" w:eastAsia="zh-CN"/>
        </w:rPr>
        <w:t>　　</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（七）社会保障和就业（类）行政事业单位养老支出（款）机关事业单位基本养老保险缴费支出（项）：</w:t>
      </w:r>
      <w:r>
        <w:rPr>
          <w:rFonts w:hint="eastAsia" w:ascii="仿宋" w:hAnsi="仿宋" w:eastAsia="仿宋" w:cs="仿宋"/>
          <w:sz w:val="32"/>
          <w:szCs w:val="32"/>
          <w:lang w:val="en-US" w:eastAsia="zh-CN"/>
        </w:rPr>
        <w:t>指</w:t>
      </w:r>
      <w:r>
        <w:rPr>
          <w:rFonts w:hint="eastAsia" w:ascii="仿宋" w:hAnsi="仿宋" w:eastAsia="仿宋" w:cs="仿宋"/>
          <w:spacing w:val="-6"/>
          <w:sz w:val="32"/>
          <w:szCs w:val="32"/>
        </w:rPr>
        <w:t>广元市统计局</w:t>
      </w:r>
      <w:r>
        <w:rPr>
          <w:rFonts w:hint="eastAsia" w:ascii="仿宋" w:hAnsi="仿宋" w:eastAsia="仿宋" w:cs="仿宋"/>
          <w:sz w:val="32"/>
          <w:szCs w:val="32"/>
          <w:lang w:val="en-US" w:eastAsia="zh-CN"/>
        </w:rPr>
        <w:t>实施养老保险制度由单位缴纳的养老保险的支出。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（八）卫生健康（类）行政事业单位医疗（款）行政单位医疗（项）：</w:t>
      </w:r>
      <w:r>
        <w:rPr>
          <w:rFonts w:hint="eastAsia" w:ascii="仿宋" w:hAnsi="仿宋" w:eastAsia="仿宋" w:cs="仿宋"/>
          <w:sz w:val="32"/>
          <w:szCs w:val="32"/>
          <w:lang w:val="en-US" w:eastAsia="zh-CN"/>
        </w:rPr>
        <w:t>指</w:t>
      </w:r>
      <w:r>
        <w:rPr>
          <w:rFonts w:hint="eastAsia" w:ascii="仿宋" w:hAnsi="仿宋" w:eastAsia="仿宋" w:cs="仿宋"/>
          <w:sz w:val="32"/>
          <w:szCs w:val="32"/>
        </w:rPr>
        <w:t>广元市统计局</w:t>
      </w:r>
      <w:r>
        <w:rPr>
          <w:rFonts w:hint="eastAsia" w:ascii="仿宋" w:hAnsi="仿宋" w:eastAsia="仿宋" w:cs="仿宋"/>
          <w:sz w:val="32"/>
          <w:szCs w:val="32"/>
          <w:lang w:val="en-US" w:eastAsia="zh-CN"/>
        </w:rPr>
        <w:t>及参公管理事业单位用于单位应缴纳基本医疗保险支出。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（九）住房保障（类）住房改革支出（款）住房公积金（项）：</w:t>
      </w:r>
      <w:r>
        <w:rPr>
          <w:rFonts w:hint="eastAsia" w:ascii="仿宋" w:hAnsi="仿宋" w:eastAsia="仿宋" w:cs="仿宋"/>
          <w:sz w:val="32"/>
          <w:szCs w:val="32"/>
          <w:lang w:val="en-US" w:eastAsia="zh-CN"/>
        </w:rPr>
        <w:t>指按照《住房公积金管理条例》的规定，由单位及其在职职工缴存的长期住房储金。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楷体" w:hAnsi="楷体" w:eastAsia="楷体" w:cs="楷体"/>
          <w:sz w:val="32"/>
          <w:szCs w:val="32"/>
          <w:lang w:val="en-US" w:eastAsia="zh-CN"/>
        </w:rPr>
        <w:t>　（十）基本支出：</w:t>
      </w:r>
      <w:r>
        <w:rPr>
          <w:rFonts w:hint="eastAsia" w:ascii="仿宋" w:hAnsi="仿宋" w:eastAsia="仿宋" w:cs="仿宋"/>
          <w:sz w:val="32"/>
          <w:szCs w:val="32"/>
          <w:lang w:val="en-US" w:eastAsia="zh-CN"/>
        </w:rPr>
        <w:t>指为保证机构正常运转，完成日常工作任务而发生的人员支出和公用支出。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（十一）项目支出：</w:t>
      </w:r>
      <w:r>
        <w:rPr>
          <w:rFonts w:hint="eastAsia" w:ascii="仿宋" w:hAnsi="仿宋" w:eastAsia="仿宋" w:cs="仿宋"/>
          <w:sz w:val="32"/>
          <w:szCs w:val="32"/>
          <w:lang w:val="en-US" w:eastAsia="zh-CN"/>
        </w:rPr>
        <w:t>指在基本支出之外为完成特定行政任务</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和事业发展目标所发生的支出。</w:t>
      </w:r>
    </w:p>
    <w:p>
      <w:pPr>
        <w:keepNext w:val="0"/>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（十二）“三公”经费：</w:t>
      </w:r>
      <w:r>
        <w:rPr>
          <w:rFonts w:hint="eastAsia" w:ascii="仿宋" w:hAnsi="仿宋" w:eastAsia="仿宋" w:cs="仿宋"/>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lang w:val="en-US" w:eastAsia="zh-CN"/>
        </w:rPr>
        <w:br w:type="textWrapping"/>
      </w:r>
      <w:r>
        <w:rPr>
          <w:rFonts w:hint="eastAsia" w:ascii="楷体" w:hAnsi="楷体" w:eastAsia="楷体" w:cs="楷体"/>
          <w:sz w:val="32"/>
          <w:szCs w:val="32"/>
          <w:lang w:val="en-US" w:eastAsia="zh-CN"/>
        </w:rPr>
        <w:t xml:space="preserve">    （十三）机关运行经费：</w:t>
      </w:r>
      <w:r>
        <w:rPr>
          <w:rFonts w:hint="eastAsia" w:ascii="仿宋" w:hAnsi="仿宋" w:eastAsia="仿宋" w:cs="仿宋"/>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eastAsia="zh-CN"/>
        </w:rPr>
      </w:pPr>
    </w:p>
    <w:sectPr>
      <w:footerReference r:id="rId4" w:type="default"/>
      <w:pgSz w:w="11906" w:h="16838"/>
      <w:pgMar w:top="2098" w:right="1474" w:bottom="1984" w:left="1587" w:header="720" w:footer="138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888"/>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4571365</wp:posOffset>
              </wp:positionH>
              <wp:positionV relativeFrom="paragraph">
                <wp:posOffset>0</wp:posOffset>
              </wp:positionV>
              <wp:extent cx="1055370" cy="5156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5370" cy="515620"/>
                      </a:xfrm>
                      <a:prstGeom prst="rect">
                        <a:avLst/>
                      </a:prstGeom>
                      <a:noFill/>
                      <a:ln>
                        <a:noFill/>
                      </a:ln>
                    </wps:spPr>
                    <wps:txbx>
                      <w:txbxContent>
                        <w:p>
                          <w:pPr>
                            <w:rPr>
                              <w:rFonts w:hint="eastAsia"/>
                            </w:rPr>
                          </w:pP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left:359.95pt;margin-top:0pt;height:40.6pt;width:83.1pt;mso-position-horizontal-relative:margin;z-index:251659264;mso-width-relative:page;mso-height-relative:page;" filled="f" stroked="f" coordsize="21600,21600" o:gfxdata="UEsDBAoAAAAAAIdO4kAAAAAAAAAAAAAAAAAEAAAAZHJzL1BLAwQUAAAACACHTuJAEPCZv9YAAAAH&#10;AQAADwAAAGRycy9kb3ducmV2LnhtbE2PzU7DMBCE70h9B2srcaO2ewhJiFMhBCckRBoOHJ3YTazG&#10;6xC7P7w9ywlus5rRzLfV7uondrZLdAEVyI0AZrEPxuGg4KN9ucuBxaTR6CmgVfBtI+zq1U2lSxMu&#10;2NjzPg2MSjCWWsGY0lxyHvvReh03YbZI3iEsXic6l4GbRV+o3E98K0TGvXZIC6Oe7dNo++P+5BU8&#10;fmLz7L7euvfm0Li2LQS+ZkelbtdSPABL9pr+wvCLT+hQE1MXTmgimxTcy6KgqAL6iOw8zySwjoTc&#10;Aq8r/p+//gFQSwMEFAAAAAgAh07iQIAy6CDjAQAAvwMAAA4AAABkcnMvZTJvRG9jLnhtbK1TwY7T&#10;MBC9I/EPlu80aVAXFDVdAdUiJARICx/gOnZjyfYY221SPgD+gBMX7nxXv4Oxk3RhueyBSzKeGc+8&#10;92a8vh6MJkfhgwLb0OWipERYDq2y+4Z++njz5DklITLbMg1WNPQkAr3ePH607l0tKuhAt8ITLGJD&#10;3buGdjG6uigC74RhYQFOWAxK8IZFPPp90XrWY3Wji6osr4oefOs8cBECerdjkE4V/UMKgpSKiy3w&#10;gxE2jlW90CwipdApF+gmo5VS8PheyiAi0Q1FpjF/sQnau/QtNmtW7z1zneITBPYQCPc4GaYsNr2U&#10;2rLIyMGrf0oZxT0EkHHBwRQjkawIsliW97S57ZgTmQtKHdxF9PD/yvJ3xw+eqLahFSWWGRz4+fu3&#10;849f559fSZXk6V2oMevWYV4cXsKASzP7AzoT60F6k/7Ih2AcxT1dxBVDJDxdKlerp88wxDG2Wq6u&#10;qqx+cXfb+RBfCzAkGQ31OLysKTu+DRGRYOqckppZuFFa5wFq+5cDE5OnSNBHiMmKw26Y+OygPSEd&#10;fAXYpwP/hZIed6Ch4fOBeUGJfmNR5LQws+FnYzcbzHK82tBIyWi+iuNiHZxX+y6v2gjrxSGCVJlC&#10;AjJ2n/DhXDOzaQfT4vx5zll3727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Dwmb/WAAAABwEA&#10;AA8AAAAAAAAAAQAgAAAAIgAAAGRycy9kb3ducmV2LnhtbFBLAQIUABQAAAAIAIdO4kCAMugg4wEA&#10;AL8DAAAOAAAAAAAAAAEAIAAAACUBAABkcnMvZTJvRG9jLnhtbFBLBQYAAAAABgAGAFkBAAB6BQAA&#10;AAA=&#10;">
              <v:fill on="f" focussize="0,0"/>
              <v:stroke on="f"/>
              <v:imagedata o:title=""/>
              <o:lock v:ext="edit" aspectratio="f"/>
              <v:textbox inset="0mm,0mm,0mm,0mm">
                <w:txbxContent>
                  <w:p>
                    <w:pPr>
                      <w:rPr>
                        <w:rFonts w:hint="eastAsia"/>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2192020</wp:posOffset>
              </wp:positionH>
              <wp:positionV relativeFrom="paragraph">
                <wp:posOffset>-179705</wp:posOffset>
              </wp:positionV>
              <wp:extent cx="1232535" cy="506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32535" cy="506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2.6pt;margin-top:-14.15pt;height:39.85pt;width:97.05pt;mso-position-horizontal-relative:margin;z-index:251660288;mso-width-relative:page;mso-height-relative:page;" filled="f" stroked="f" coordsize="21600,21600" o:gfxdata="UEsDBAoAAAAAAIdO4kAAAAAAAAAAAAAAAAAEAAAAZHJzL1BLAwQUAAAACACHTuJAeEkn0NkAAAAK&#10;AQAADwAAAGRycy9kb3ducmV2LnhtbE2Py07DMBBF90j8gzVI7Fo7SYtKiNMFjx1QKCDBzolNEmGP&#10;I9tJy98zrGB3R3N050y1PTrLZhPi4FFCthTADLZeD9hJeH25W2yAxaRQK+vRSPg2Ebb16UmlSu0P&#10;+GzmfeoYlWAslYQ+pbHkPLa9cSou/WiQdp8+OJVoDB3XQR2o3FmeC3HBnRqQLvRqNNe9ab/2k5Ng&#10;32O4b0T6mG+6h/S049PbbfYo5flZJq6AJXNMfzD86pM61OTU+Al1ZFZCsVrnhEpY5JsCGBHr4pJC&#10;QyFbAa8r/v+F+gdQSwMEFAAAAAgAh07iQGKv/y04AgAAYgQAAA4AAABkcnMvZTJvRG9jLnhtbK1U&#10;zY7TMBC+I/EOlu80aat2oWq6KlsVIVXsSgvi7DpOY8n2GNtpUh4A3oDTXrjzXH0OxvnpooXDHri4&#10;Xzx//r6Z6fK60YochfMSTEbHo5QSYTjk0hwy+unj9tVrSnxgJmcKjMjoSXh6vXr5YlnbhZhACSoX&#10;jmAS4xe1zWgZgl0kieel0MyPwAqDxgKcZgE/3SHJHasxu1bJJE3nSQ0utw648B5vN52R9hndcxJC&#10;UUguNsArLUzosjqhWEBKvpTW01X72qIQPNwWhReBqIwi09CeWATxPp7JaskWB8dsKXn/BPacJzzh&#10;pJk0WPSSasMCI5WTf6XSkjvwUIQRB510RFpFkMU4faLNfcmsaLmg1N5eRPf/Ly3/cLxzROYZvaLE&#10;MI0NP//4fn74df75jVxFeWrrF+h1b9EvNG+hwaEZ7j1eRtZN4XT8RT4E7Sju6SKuaALhMWgyncym&#10;M0o42mbpPH0zi2mSx2jrfHgnQJMIMuqwea2m7LjzoXMdXGIxA1upVNtAZUid0fl0lrYBFwsmVwZr&#10;RA7dWyMKzb7pie0hPyEvB91geMu3EovvmA93zOEkIBXclXCLR6EAi0CPKCnBff3XffTHBqGVkhon&#10;K6P+S8WcoES9N9i6OIYDcAPYD8BU+gZwWMe4hZa3EANcUAMsHOjPuELrWAVNzHCsldEwwJvQzTeu&#10;IBfrdetUWScPZReAg2dZ2Jl7y2OZTsp1FaCQrcpRok6XXjkcvbZP/ZrE2f7zu/V6/Gt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SSfQ2QAAAAoBAAAPAAAAAAAAAAEAIAAAACIAAABkcnMvZG93&#10;bnJldi54bWxQSwECFAAUAAAACACHTuJAYq//LTgCAABiBAAADgAAAAAAAAABACAAAAAoAQAAZHJz&#10;L2Uyb0RvYy54bWxQSwUGAAAAAAYABgBZAQAA0gUAAAAA&#10;">
              <v:fill on="f" focussize="0,0"/>
              <v:stroke on="f" weight="0.5pt"/>
              <v:imagedata o:title=""/>
              <o:lock v:ext="edit" aspectratio="f"/>
              <v:textbox inset="0mm,0mm,0mm,0mm">
                <w:txbxContent>
                  <w:p/>
                </w:txbxContent>
              </v:textbox>
            </v:shape>
          </w:pict>
        </mc:Fallback>
      </mc:AlternateContent>
    </w:r>
    <w:r>
      <w:rPr>
        <w:rFonts w:hint="eastAsia"/>
        <w:lang w:eastAsia="zh-CN"/>
      </w:rPr>
      <w:tab/>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C1D37"/>
    <w:multiLevelType w:val="singleLevel"/>
    <w:tmpl w:val="A5DC1D37"/>
    <w:lvl w:ilvl="0" w:tentative="0">
      <w:start w:val="2"/>
      <w:numFmt w:val="chineseCounting"/>
      <w:suff w:val="nothing"/>
      <w:lvlText w:val="（%1）"/>
      <w:lvlJc w:val="left"/>
      <w:rPr>
        <w:rFonts w:hint="eastAsia"/>
      </w:rPr>
    </w:lvl>
  </w:abstractNum>
  <w:abstractNum w:abstractNumId="1">
    <w:nsid w:val="35461554"/>
    <w:multiLevelType w:val="singleLevel"/>
    <w:tmpl w:val="35461554"/>
    <w:lvl w:ilvl="0" w:tentative="0">
      <w:start w:val="8"/>
      <w:numFmt w:val="chineseCounting"/>
      <w:suff w:val="nothing"/>
      <w:lvlText w:val="%1、"/>
      <w:lvlJc w:val="left"/>
      <w:rPr>
        <w:rFonts w:hint="eastAsia"/>
      </w:rPr>
    </w:lvl>
  </w:abstractNum>
  <w:abstractNum w:abstractNumId="2">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ZTlmMzNjZjA4NGFjZjgzNWM2ODQzZGE0Nzc2YWEifQ=="/>
  </w:docVars>
  <w:rsids>
    <w:rsidRoot w:val="00000000"/>
    <w:rsid w:val="012352D1"/>
    <w:rsid w:val="020B07BA"/>
    <w:rsid w:val="05AD7DDA"/>
    <w:rsid w:val="066F04FF"/>
    <w:rsid w:val="06A46D17"/>
    <w:rsid w:val="073E705D"/>
    <w:rsid w:val="07B4016B"/>
    <w:rsid w:val="07CF7529"/>
    <w:rsid w:val="09863F87"/>
    <w:rsid w:val="0A1D3958"/>
    <w:rsid w:val="0AA44AB1"/>
    <w:rsid w:val="0B941820"/>
    <w:rsid w:val="0CE40EB1"/>
    <w:rsid w:val="0D31309F"/>
    <w:rsid w:val="0D6671EC"/>
    <w:rsid w:val="0FA933C0"/>
    <w:rsid w:val="10020672"/>
    <w:rsid w:val="10AA6729"/>
    <w:rsid w:val="10DE62E5"/>
    <w:rsid w:val="14FC0436"/>
    <w:rsid w:val="15413A64"/>
    <w:rsid w:val="162437A1"/>
    <w:rsid w:val="162C08A7"/>
    <w:rsid w:val="18526D64"/>
    <w:rsid w:val="18697B91"/>
    <w:rsid w:val="19771B7E"/>
    <w:rsid w:val="1B031AF6"/>
    <w:rsid w:val="1BE334DF"/>
    <w:rsid w:val="1C965B45"/>
    <w:rsid w:val="1D8334A3"/>
    <w:rsid w:val="1D9F113A"/>
    <w:rsid w:val="1EA36355"/>
    <w:rsid w:val="1F7BF06F"/>
    <w:rsid w:val="1FEE4B73"/>
    <w:rsid w:val="20054643"/>
    <w:rsid w:val="23CE9849"/>
    <w:rsid w:val="24044C11"/>
    <w:rsid w:val="24B71C84"/>
    <w:rsid w:val="24B93C4E"/>
    <w:rsid w:val="255D4632"/>
    <w:rsid w:val="25972AEB"/>
    <w:rsid w:val="269F64C8"/>
    <w:rsid w:val="279D33D4"/>
    <w:rsid w:val="27AB7378"/>
    <w:rsid w:val="285508BC"/>
    <w:rsid w:val="28987C65"/>
    <w:rsid w:val="28FC074F"/>
    <w:rsid w:val="29114058"/>
    <w:rsid w:val="2A81513F"/>
    <w:rsid w:val="2C195961"/>
    <w:rsid w:val="2F6E3A80"/>
    <w:rsid w:val="309E2963"/>
    <w:rsid w:val="31C87720"/>
    <w:rsid w:val="322F72FD"/>
    <w:rsid w:val="33272DBF"/>
    <w:rsid w:val="342A4220"/>
    <w:rsid w:val="34935BC5"/>
    <w:rsid w:val="356C7B56"/>
    <w:rsid w:val="35B75F88"/>
    <w:rsid w:val="35BC22C3"/>
    <w:rsid w:val="362D7FF8"/>
    <w:rsid w:val="365D08DD"/>
    <w:rsid w:val="372799D5"/>
    <w:rsid w:val="37AD2ACE"/>
    <w:rsid w:val="384E5D69"/>
    <w:rsid w:val="38B62526"/>
    <w:rsid w:val="39F304DD"/>
    <w:rsid w:val="3AE6254A"/>
    <w:rsid w:val="3B2E678B"/>
    <w:rsid w:val="3B5D4EDB"/>
    <w:rsid w:val="3C495460"/>
    <w:rsid w:val="3CCC056A"/>
    <w:rsid w:val="3CCD6091"/>
    <w:rsid w:val="3F2B709E"/>
    <w:rsid w:val="3F9F5908"/>
    <w:rsid w:val="401B1439"/>
    <w:rsid w:val="41961147"/>
    <w:rsid w:val="42185F27"/>
    <w:rsid w:val="4346094B"/>
    <w:rsid w:val="43F81C45"/>
    <w:rsid w:val="441E52CE"/>
    <w:rsid w:val="47005811"/>
    <w:rsid w:val="48A979B2"/>
    <w:rsid w:val="49553696"/>
    <w:rsid w:val="49573CB4"/>
    <w:rsid w:val="49975A5C"/>
    <w:rsid w:val="49BE123B"/>
    <w:rsid w:val="4A280DAA"/>
    <w:rsid w:val="4B5B3482"/>
    <w:rsid w:val="4C1B5ADB"/>
    <w:rsid w:val="4F8B41A9"/>
    <w:rsid w:val="50F02564"/>
    <w:rsid w:val="54244390"/>
    <w:rsid w:val="54662A63"/>
    <w:rsid w:val="55F65CBA"/>
    <w:rsid w:val="56870BCE"/>
    <w:rsid w:val="56F73FDE"/>
    <w:rsid w:val="5737262D"/>
    <w:rsid w:val="58064E12"/>
    <w:rsid w:val="584F41FB"/>
    <w:rsid w:val="586A752E"/>
    <w:rsid w:val="59353C65"/>
    <w:rsid w:val="59575208"/>
    <w:rsid w:val="5ADA3B55"/>
    <w:rsid w:val="5B5E462C"/>
    <w:rsid w:val="5B7025B1"/>
    <w:rsid w:val="5BFEE015"/>
    <w:rsid w:val="5C263F17"/>
    <w:rsid w:val="5CD252D1"/>
    <w:rsid w:val="5CE8562A"/>
    <w:rsid w:val="5EA44A4C"/>
    <w:rsid w:val="60193217"/>
    <w:rsid w:val="6189456E"/>
    <w:rsid w:val="61CC08E4"/>
    <w:rsid w:val="6208709F"/>
    <w:rsid w:val="6278617E"/>
    <w:rsid w:val="63EDCF55"/>
    <w:rsid w:val="63FBFBCF"/>
    <w:rsid w:val="641F4B74"/>
    <w:rsid w:val="64941D5F"/>
    <w:rsid w:val="64A15589"/>
    <w:rsid w:val="64DD4813"/>
    <w:rsid w:val="669360FD"/>
    <w:rsid w:val="66EC3CA2"/>
    <w:rsid w:val="67CF0DBE"/>
    <w:rsid w:val="68122FB4"/>
    <w:rsid w:val="68EA74C5"/>
    <w:rsid w:val="68FF6A83"/>
    <w:rsid w:val="699B2EEF"/>
    <w:rsid w:val="6AEF6005"/>
    <w:rsid w:val="6B6D2C2F"/>
    <w:rsid w:val="6CBD4F2A"/>
    <w:rsid w:val="6DF13FB0"/>
    <w:rsid w:val="6E3DB48E"/>
    <w:rsid w:val="6EB17731"/>
    <w:rsid w:val="6EDF6BE8"/>
    <w:rsid w:val="6FBBC9CF"/>
    <w:rsid w:val="70C05BB2"/>
    <w:rsid w:val="71307EC7"/>
    <w:rsid w:val="72BDE561"/>
    <w:rsid w:val="733C45F3"/>
    <w:rsid w:val="74177616"/>
    <w:rsid w:val="76B21BA8"/>
    <w:rsid w:val="78462278"/>
    <w:rsid w:val="78511348"/>
    <w:rsid w:val="7997EA6C"/>
    <w:rsid w:val="799D05BD"/>
    <w:rsid w:val="7AA00365"/>
    <w:rsid w:val="7AEAE675"/>
    <w:rsid w:val="7BAFCE5D"/>
    <w:rsid w:val="7CF44998"/>
    <w:rsid w:val="7D1D5C9D"/>
    <w:rsid w:val="7D46598C"/>
    <w:rsid w:val="7D9F8F0F"/>
    <w:rsid w:val="7DFB240B"/>
    <w:rsid w:val="7DFE05E7"/>
    <w:rsid w:val="7E0935ED"/>
    <w:rsid w:val="7F38184C"/>
    <w:rsid w:val="7F3D2627"/>
    <w:rsid w:val="7FA97CBC"/>
    <w:rsid w:val="7FBF128D"/>
    <w:rsid w:val="7FCF2AF7"/>
    <w:rsid w:val="7FE823C1"/>
    <w:rsid w:val="9FEF033D"/>
    <w:rsid w:val="A27FF1E5"/>
    <w:rsid w:val="AF3FEDDD"/>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88D0DC7"/>
    <w:rsid w:val="FAE4EFE1"/>
    <w:rsid w:val="FB9B6F12"/>
    <w:rsid w:val="FBB66A4A"/>
    <w:rsid w:val="FDEE6989"/>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caption"/>
    <w:basedOn w:val="1"/>
    <w:autoRedefine/>
    <w:qFormat/>
    <w:uiPriority w:val="0"/>
    <w:pPr>
      <w:widowControl w:val="0"/>
      <w:suppressLineNumbers/>
      <w:suppressAutoHyphens/>
      <w:spacing w:before="120" w:after="120"/>
    </w:pPr>
    <w:rPr>
      <w:i/>
      <w:iCs/>
      <w:sz w:val="24"/>
      <w:szCs w:val="24"/>
    </w:rPr>
  </w:style>
  <w:style w:type="paragraph" w:styleId="3">
    <w:name w:val="Body Text"/>
    <w:basedOn w:val="1"/>
    <w:autoRedefine/>
    <w:qFormat/>
    <w:uiPriority w:val="0"/>
    <w:pPr>
      <w:spacing w:before="0" w:after="140" w:line="276" w:lineRule="auto"/>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autoRedefine/>
    <w:qFormat/>
    <w:uiPriority w:val="0"/>
  </w:style>
  <w:style w:type="paragraph" w:styleId="7">
    <w:name w:val="table of figures"/>
    <w:basedOn w:val="1"/>
    <w:next w:val="1"/>
    <w:autoRedefine/>
    <w:qFormat/>
    <w:uiPriority w:val="0"/>
    <w:pPr>
      <w:ind w:left="400" w:leftChars="200" w:hanging="200" w:hangingChars="200"/>
    </w:pPr>
    <w:rPr>
      <w:rFonts w:ascii="Calibri" w:hAnsi="Calibri" w:eastAsia="宋体" w:cs="Times New Roman"/>
      <w:szCs w:val="24"/>
    </w:rPr>
  </w:style>
  <w:style w:type="paragraph" w:styleId="8">
    <w:name w:val="Normal (Web)"/>
    <w:basedOn w:val="1"/>
    <w:autoRedefine/>
    <w:qFormat/>
    <w:uiPriority w:val="0"/>
    <w:rPr>
      <w:sz w:val="24"/>
    </w:rPr>
  </w:style>
  <w:style w:type="character" w:customStyle="1" w:styleId="11">
    <w:name w:val="默认段落字体1"/>
    <w:autoRedefine/>
    <w:qFormat/>
    <w:uiPriority w:val="0"/>
  </w:style>
  <w:style w:type="paragraph" w:customStyle="1" w:styleId="12">
    <w:name w:val="Heading"/>
    <w:basedOn w:val="1"/>
    <w:next w:val="3"/>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autoRedefine/>
    <w:qFormat/>
    <w:uiPriority w:val="0"/>
    <w:pPr>
      <w:widowControl w:val="0"/>
      <w:suppressLineNumbers/>
      <w:suppressAutoHyphens/>
    </w:pPr>
  </w:style>
  <w:style w:type="paragraph" w:customStyle="1" w:styleId="14">
    <w:name w:val="图表目录1"/>
    <w:basedOn w:val="1"/>
    <w:next w:val="1"/>
    <w:autoRedefine/>
    <w:qFormat/>
    <w:uiPriority w:val="0"/>
    <w:pPr>
      <w:ind w:left="400" w:leftChars="200" w:hanging="200" w:hanging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2018-11-30T01:47:00Z</dcterms:created>
  <dc:creator>admin</dc:creator>
  <cp:lastModifiedBy>喜月</cp:lastModifiedBy>
  <dcterms:modified xsi:type="dcterms:W3CDTF">2024-02-07T07:33:23Z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96081F72B7444D3C8C1C7DDAED24732C_13</vt:lpwstr>
  </property>
</Properties>
</file>